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spacing w:before="0" w:after="120" w:line="264" w:lineRule="auto"/>
        <w:jc w:val="center"/>
        <w:textAlignment w:val="auto"/>
        <w:rPr>
          <w:rFonts w:ascii="Tahoma" w:hAnsi="Tahoma" w:cs="Tahoma"/>
          <w:b/>
          <w:bCs/>
          <w:color w:val="000000"/>
          <w:kern w:val="28"/>
          <w:sz w:val="20"/>
          <w:u w:val="single"/>
          <w14:cntxtAlts/>
        </w:rPr>
      </w:pPr>
    </w:p>
    <w:p>
      <w:pPr>
        <w:adjustRightInd/>
        <w:spacing w:before="0" w:after="120" w:line="264" w:lineRule="auto"/>
        <w:jc w:val="center"/>
        <w:textAlignment w:val="auto"/>
        <w:rPr>
          <w:rFonts w:ascii="Tahoma" w:hAnsi="Tahoma" w:cs="Tahoma"/>
          <w:b/>
          <w:bCs/>
          <w:color w:val="000000"/>
          <w:kern w:val="28"/>
          <w:sz w:val="20"/>
          <w:u w:val="single"/>
          <w14:cntxtAlts/>
        </w:rPr>
      </w:pPr>
    </w:p>
    <w:p>
      <w:pPr>
        <w:adjustRightInd/>
        <w:spacing w:before="0" w:after="120" w:line="264" w:lineRule="auto"/>
        <w:jc w:val="center"/>
        <w:textAlignment w:val="auto"/>
        <w:rPr>
          <w:rFonts w:ascii="Tahoma" w:hAnsi="Tahoma" w:cs="Tahoma"/>
          <w:b/>
          <w:bCs/>
          <w:color w:val="000000"/>
          <w:kern w:val="28"/>
          <w:sz w:val="24"/>
          <w:szCs w:val="24"/>
          <w:u w:val="single"/>
          <w:lang w:val="en-US"/>
          <w14:cntxtAlts/>
        </w:rPr>
      </w:pPr>
      <w:r>
        <w:rPr>
          <w:rFonts w:ascii="Tahoma" w:hAnsi="Tahoma" w:cs="Tahoma"/>
          <w:b/>
          <w:bCs/>
          <w:color w:val="000000"/>
          <w:kern w:val="28"/>
          <w:sz w:val="24"/>
          <w:szCs w:val="24"/>
          <w:u w:val="single"/>
          <w14:cntxtAlts/>
        </w:rPr>
        <w:t>EXAMINATION</w:t>
      </w:r>
      <w:r>
        <w:rPr>
          <w:rFonts w:ascii="Tahoma" w:hAnsi="Tahoma" w:cs="Tahoma"/>
          <w:b/>
          <w:bCs/>
          <w:color w:val="000000"/>
          <w:kern w:val="28"/>
          <w:sz w:val="24"/>
          <w:szCs w:val="24"/>
          <w:u w:val="single"/>
          <w:lang w:val="en-US"/>
          <w14:cntxtAlts/>
        </w:rPr>
        <w:t xml:space="preserve"> POLICY</w:t>
      </w:r>
    </w:p>
    <w:p>
      <w:pPr>
        <w:adjustRightInd/>
        <w:spacing w:before="0" w:after="120" w:line="264" w:lineRule="auto"/>
        <w:jc w:val="center"/>
        <w:textAlignment w:val="auto"/>
        <w:rPr>
          <w:rFonts w:ascii="Tahoma" w:hAnsi="Tahoma" w:cs="Tahoma"/>
          <w:b/>
          <w:bCs/>
          <w:color w:val="000000"/>
          <w:kern w:val="28"/>
          <w:sz w:val="24"/>
          <w:szCs w:val="24"/>
          <w:u w:val="single"/>
          <w14:cntxtAlts/>
        </w:rPr>
      </w:pPr>
      <w:r>
        <w:rPr>
          <w:rFonts w:ascii="Tahoma" w:hAnsi="Tahoma" w:cs="Tahoma"/>
          <w:b/>
          <w:bCs/>
          <w:color w:val="000000"/>
          <w:kern w:val="28"/>
          <w:sz w:val="24"/>
          <w:szCs w:val="24"/>
          <w:u w:val="single"/>
          <w14:cntxtAlts/>
        </w:rPr>
        <w:t>INTERNAL</w:t>
      </w:r>
      <w:r>
        <w:rPr>
          <w:rFonts w:ascii="Tahoma" w:hAnsi="Tahoma" w:cs="Tahoma"/>
          <w:b/>
          <w:bCs/>
          <w:color w:val="000000"/>
          <w:kern w:val="28"/>
          <w:sz w:val="24"/>
          <w:szCs w:val="24"/>
          <w:u w:val="single"/>
          <w:lang w:val="en-US"/>
          <w14:cntxtAlts/>
        </w:rPr>
        <w:t xml:space="preserve"> APPEALS PROCEDURE</w:t>
      </w:r>
    </w:p>
    <w:p>
      <w:pPr>
        <w:widowControl/>
        <w:adjustRightInd/>
        <w:spacing w:before="0" w:after="120" w:line="264" w:lineRule="auto"/>
        <w:textAlignment w:val="auto"/>
        <w:rPr>
          <w:rFonts w:ascii="Tahoma" w:hAnsi="Tahoma" w:cs="Tahoma"/>
          <w:color w:val="000000"/>
          <w:kern w:val="28"/>
          <w:sz w:val="10"/>
          <w:szCs w:val="10"/>
          <w:u w:val="single"/>
          <w14:cntxtAlts/>
        </w:rPr>
      </w:pPr>
      <w:r>
        <w:rPr>
          <w:rFonts w:ascii="Tahoma" w:hAnsi="Tahoma" w:cs="Tahoma"/>
          <w:color w:val="000000"/>
          <w:kern w:val="28"/>
          <w:sz w:val="10"/>
          <w:szCs w:val="10"/>
          <w:u w:val="single"/>
          <w14:cntxtAlts/>
        </w:rPr>
        <w:t> </w:t>
      </w:r>
    </w:p>
    <w:p>
      <w:pPr>
        <w:adjustRightInd/>
        <w:spacing w:before="0" w:after="120" w:line="264" w:lineRule="auto"/>
        <w:textAlignment w:val="auto"/>
        <w:rPr>
          <w:rFonts w:ascii="Tahoma" w:hAnsi="Tahoma" w:cs="Tahoma"/>
          <w:color w:val="000000"/>
          <w:kern w:val="28"/>
          <w:sz w:val="20"/>
          <w:u w:val="single"/>
          <w14:cntxtAlts/>
        </w:rPr>
      </w:pPr>
      <w:r>
        <w:rPr>
          <w:rFonts w:ascii="Tahoma" w:hAnsi="Tahoma" w:cs="Tahoma"/>
          <w:b/>
          <w:bCs/>
          <w:color w:val="000000"/>
          <w:kern w:val="28"/>
          <w:sz w:val="20"/>
          <w:u w:val="single"/>
          <w:lang w:val="en-US"/>
          <w14:cntxtAlts/>
        </w:rPr>
        <w:t xml:space="preserve">Policy on Internal Assessments for Qualifications with English </w:t>
      </w:r>
      <w:r>
        <w:rPr>
          <w:rFonts w:ascii="Tahoma" w:hAnsi="Tahoma" w:cs="Tahoma"/>
          <w:b/>
          <w:bCs/>
          <w:color w:val="000000"/>
          <w:kern w:val="28"/>
          <w:sz w:val="20"/>
          <w:u w:val="single"/>
          <w:lang w:val="en-US"/>
          <w14:cntxtAlts/>
        </w:rPr>
        <w:br/>
        <w:t>Awarding Bodies</w:t>
      </w:r>
    </w:p>
    <w:p>
      <w:pPr>
        <w:adjustRightInd/>
        <w:spacing w:before="0" w:after="6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In accordance with the Code of Practice for the conduct of external qualifications produced by the JCQ, The St Leonards Academy is committed to ensuring that:</w:t>
      </w:r>
    </w:p>
    <w:p>
      <w:pPr>
        <w:adjustRightInd/>
        <w:spacing w:before="0" w:after="60" w:line="264" w:lineRule="auto"/>
        <w:ind w:left="384" w:hanging="384"/>
        <w:textAlignment w:val="auto"/>
        <w:rPr>
          <w:rFonts w:ascii="Tahoma" w:hAnsi="Tahoma" w:cs="Tahoma"/>
          <w:color w:val="000000"/>
          <w:kern w:val="28"/>
          <w:sz w:val="20"/>
          <w:lang w:val="en-US"/>
          <w14:cntxtAlts/>
        </w:rPr>
      </w:pPr>
      <w:r>
        <w:rPr>
          <w:rFonts w:ascii="Symbol" w:hAnsi="Symbol"/>
          <w:color w:val="000000"/>
          <w:kern w:val="28"/>
          <w:sz w:val="20"/>
          <w14:ligatures w14:val="standard"/>
          <w14:cntxtAlts/>
        </w:rPr>
        <w:t></w:t>
      </w:r>
      <w:r>
        <w:rPr>
          <w:color w:val="000000"/>
          <w:kern w:val="28"/>
          <w:sz w:val="20"/>
          <w14:ligatures w14:val="standard"/>
          <w14:cntxtAlts/>
        </w:rPr>
        <w:t> </w:t>
      </w:r>
      <w:r>
        <w:rPr>
          <w:rFonts w:ascii="Tahoma" w:hAnsi="Tahoma" w:cs="Tahoma"/>
          <w:color w:val="000000"/>
          <w:kern w:val="28"/>
          <w:sz w:val="20"/>
          <w:lang w:val="en-US"/>
          <w14:cntxtAlts/>
        </w:rPr>
        <w:t>Staff that have the appropriate knowledge, understanding and skills conducts internal assessments</w:t>
      </w:r>
    </w:p>
    <w:p>
      <w:pPr>
        <w:adjustRightInd/>
        <w:spacing w:before="0" w:after="60" w:line="264" w:lineRule="auto"/>
        <w:ind w:left="384" w:hanging="384"/>
        <w:textAlignment w:val="auto"/>
        <w:rPr>
          <w:rFonts w:ascii="Tahoma" w:hAnsi="Tahoma" w:cs="Tahoma"/>
          <w:color w:val="000000"/>
          <w:kern w:val="28"/>
          <w:sz w:val="20"/>
          <w:lang w:val="en-US"/>
          <w14:cntxtAlts/>
        </w:rPr>
      </w:pPr>
      <w:r>
        <w:rPr>
          <w:rFonts w:ascii="Symbol" w:hAnsi="Symbol"/>
          <w:color w:val="000000"/>
          <w:kern w:val="28"/>
          <w:sz w:val="20"/>
          <w14:ligatures w14:val="standard"/>
          <w14:cntxtAlts/>
        </w:rPr>
        <w:t></w:t>
      </w:r>
      <w:r>
        <w:rPr>
          <w:color w:val="000000"/>
          <w:kern w:val="28"/>
          <w:sz w:val="20"/>
          <w14:ligatures w14:val="standard"/>
          <w14:cntxtAlts/>
        </w:rPr>
        <w:t> </w:t>
      </w:r>
      <w:r>
        <w:rPr>
          <w:rFonts w:ascii="Tahoma" w:hAnsi="Tahoma" w:cs="Tahoma"/>
          <w:color w:val="000000"/>
          <w:kern w:val="28"/>
          <w:sz w:val="20"/>
          <w:lang w:val="en-US"/>
          <w14:cntxtAlts/>
        </w:rPr>
        <w:t>Assessment evidence provided by candidates is produced and authenticated according to the requirements of the relevant Specifications for each subject.</w:t>
      </w:r>
    </w:p>
    <w:p>
      <w:pPr>
        <w:adjustRightInd/>
        <w:spacing w:before="0" w:after="60" w:line="264" w:lineRule="auto"/>
        <w:ind w:left="384" w:hanging="384"/>
        <w:textAlignment w:val="auto"/>
        <w:rPr>
          <w:rFonts w:ascii="Tahoma" w:hAnsi="Tahoma" w:cs="Tahoma"/>
          <w:color w:val="000000"/>
          <w:kern w:val="28"/>
          <w:sz w:val="20"/>
          <w:lang w:val="en-US"/>
          <w14:cntxtAlts/>
        </w:rPr>
      </w:pPr>
      <w:r>
        <w:rPr>
          <w:rFonts w:ascii="Symbol" w:hAnsi="Symbol"/>
          <w:color w:val="000000"/>
          <w:kern w:val="28"/>
          <w:sz w:val="20"/>
          <w14:ligatures w14:val="standard"/>
          <w14:cntxtAlts/>
        </w:rPr>
        <w:t></w:t>
      </w:r>
      <w:r>
        <w:rPr>
          <w:color w:val="000000"/>
          <w:kern w:val="28"/>
          <w:sz w:val="20"/>
          <w14:ligatures w14:val="standard"/>
          <w14:cntxtAlts/>
        </w:rPr>
        <w:t> </w:t>
      </w:r>
      <w:r>
        <w:rPr>
          <w:rFonts w:ascii="Tahoma" w:hAnsi="Tahoma" w:cs="Tahoma"/>
          <w:color w:val="000000"/>
          <w:kern w:val="28"/>
          <w:sz w:val="20"/>
          <w:lang w:val="en-US"/>
          <w14:cntxtAlts/>
        </w:rPr>
        <w:t>The consistency of internal assessment is assured through the internal standardization as set out by the Awarding Bodies.</w:t>
      </w:r>
    </w:p>
    <w:p>
      <w:pPr>
        <w:adjustRightInd/>
        <w:spacing w:before="0" w:after="12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Staff responsible for internal standardisation and/or assessment attend any compulsory training sessions.</w:t>
      </w:r>
    </w:p>
    <w:p>
      <w:pPr>
        <w:widowControl/>
        <w:adjustRightInd/>
        <w:spacing w:before="0" w:after="120" w:line="264" w:lineRule="auto"/>
        <w:textAlignment w:val="auto"/>
        <w:rPr>
          <w:rFonts w:ascii="Tahoma" w:hAnsi="Tahoma" w:cs="Tahoma"/>
          <w:b/>
          <w:bCs/>
          <w:color w:val="000000"/>
          <w:kern w:val="28"/>
          <w:sz w:val="20"/>
          <w:u w:val="single"/>
          <w:lang w:val="en-US"/>
          <w14:cntxtAlts/>
        </w:rPr>
      </w:pPr>
    </w:p>
    <w:p>
      <w:pPr>
        <w:adjustRightInd/>
        <w:spacing w:before="0" w:after="120" w:line="264" w:lineRule="auto"/>
        <w:textAlignment w:val="auto"/>
        <w:rPr>
          <w:rFonts w:ascii="Tahoma" w:hAnsi="Tahoma" w:cs="Tahoma"/>
          <w:b/>
          <w:bCs/>
          <w:color w:val="000000"/>
          <w:kern w:val="28"/>
          <w:sz w:val="20"/>
          <w:lang w:val="en-US"/>
          <w14:cntxtAlts/>
        </w:rPr>
      </w:pPr>
      <w:r>
        <w:rPr>
          <w:rFonts w:ascii="Tahoma" w:hAnsi="Tahoma" w:cs="Tahoma"/>
          <w:b/>
          <w:bCs/>
          <w:color w:val="000000"/>
          <w:kern w:val="28"/>
          <w:sz w:val="20"/>
          <w:u w:val="single"/>
          <w:lang w:val="en-US"/>
          <w14:cntxtAlts/>
        </w:rPr>
        <w:t>Written Appeals Procedure</w:t>
      </w:r>
    </w:p>
    <w:p>
      <w:pPr>
        <w:adjustRightInd/>
        <w:spacing w:before="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Each Awarding Body publishes procedures for appeals against decisions, and the Examinations Officer will be able to advise pupils and parents of these procedures.</w:t>
      </w:r>
    </w:p>
    <w:p>
      <w:pPr>
        <w:adjustRightInd/>
        <w:spacing w:before="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The Awarding Body may make appeals to the school regarding the procedures used in internal assessment, but not the actual marks or grades submitted by the school for moderation.</w:t>
      </w:r>
    </w:p>
    <w:p>
      <w:pPr>
        <w:adjustRightInd/>
        <w:spacing w:before="0" w:line="264" w:lineRule="auto"/>
        <w:textAlignment w:val="auto"/>
        <w:rPr>
          <w:rFonts w:ascii="Tahoma" w:hAnsi="Tahoma" w:cs="Tahoma"/>
          <w:i/>
          <w:iCs/>
          <w:color w:val="000000"/>
          <w:kern w:val="28"/>
          <w:sz w:val="20"/>
          <w:lang w:val="en-US"/>
          <w14:cntxtAlts/>
        </w:rPr>
      </w:pPr>
      <w:r>
        <w:rPr>
          <w:rFonts w:ascii="Tahoma" w:hAnsi="Tahoma" w:cs="Tahoma"/>
          <w:color w:val="000000"/>
          <w:kern w:val="28"/>
          <w:sz w:val="20"/>
          <w:lang w:val="en-US"/>
          <w14:cntxtAlts/>
        </w:rPr>
        <w:t xml:space="preserve">A pupil or parent wishing to appeal against the procedure used in internal assessments should contact the Examinations Officer as soon as possible to discuss the appeal, and the school must receive a written appeal </w:t>
      </w:r>
      <w:r>
        <w:rPr>
          <w:rFonts w:ascii="Tahoma" w:hAnsi="Tahoma" w:cs="Tahoma"/>
          <w:i/>
          <w:iCs/>
          <w:color w:val="000000"/>
          <w:kern w:val="28"/>
          <w:sz w:val="20"/>
          <w:lang w:val="en-US"/>
          <w14:cntxtAlts/>
        </w:rPr>
        <w:t>at least two weeks before the date of the last internal exam in the subject.</w:t>
      </w:r>
    </w:p>
    <w:p>
      <w:pPr>
        <w:adjustRightInd/>
        <w:spacing w:before="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On receipt of a written appeal, the Examinations Officer and the Curriculum Manager will conduct an enquiry into the internal assessment.  This enquiry will consider whether the procedures used in the internal assessment conformed to the published requirements of the Awarding Body.</w:t>
      </w:r>
    </w:p>
    <w:p>
      <w:pPr>
        <w:adjustRightInd/>
        <w:spacing w:before="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The appellant will be informed of the outcome of the appeal, including details of any relevant communication with the Awarding Body and of any steps taken to further protect the interests of the candidate.</w:t>
      </w:r>
    </w:p>
    <w:p>
      <w:pPr>
        <w:adjustRightInd/>
        <w:spacing w:before="0" w:after="120" w:line="264" w:lineRule="auto"/>
        <w:textAlignment w:val="auto"/>
        <w:rPr>
          <w:rFonts w:ascii="Tahoma" w:hAnsi="Tahoma" w:cs="Tahoma"/>
          <w:b/>
          <w:bCs/>
          <w:color w:val="000000"/>
          <w:kern w:val="28"/>
          <w:sz w:val="20"/>
          <w:u w:val="single"/>
          <w:lang w:val="en-US"/>
          <w14:cntxtAlts/>
        </w:rPr>
      </w:pPr>
    </w:p>
    <w:p>
      <w:pPr>
        <w:adjustRightInd/>
        <w:spacing w:before="0" w:after="120" w:line="264" w:lineRule="auto"/>
        <w:textAlignment w:val="auto"/>
        <w:rPr>
          <w:rFonts w:ascii="Tahoma" w:hAnsi="Tahoma" w:cs="Tahoma"/>
          <w:b/>
          <w:bCs/>
          <w:color w:val="000000"/>
          <w:kern w:val="28"/>
          <w:sz w:val="20"/>
          <w:u w:val="single"/>
          <w:lang w:val="en-US"/>
          <w14:cntxtAlts/>
        </w:rPr>
      </w:pPr>
      <w:r>
        <w:rPr>
          <w:rFonts w:ascii="Tahoma" w:hAnsi="Tahoma" w:cs="Tahoma"/>
          <w:b/>
          <w:bCs/>
          <w:color w:val="000000"/>
          <w:kern w:val="28"/>
          <w:sz w:val="20"/>
          <w:u w:val="single"/>
          <w:lang w:val="en-US"/>
          <w14:cntxtAlts/>
        </w:rPr>
        <w:t>Statement for Pupils:</w:t>
      </w:r>
      <w:bookmarkStart w:id="0" w:name="_GoBack"/>
      <w:bookmarkEnd w:id="0"/>
    </w:p>
    <w:p>
      <w:pPr>
        <w:widowControl/>
        <w:adjustRightInd/>
        <w:spacing w:before="0" w:line="264" w:lineRule="auto"/>
        <w:textAlignment w:val="auto"/>
        <w:rPr>
          <w:rFonts w:ascii="Tahoma" w:hAnsi="Tahoma" w:cs="Tahoma"/>
          <w:color w:val="000000"/>
          <w:kern w:val="28"/>
          <w:sz w:val="20"/>
          <w:lang w:val="en-US"/>
          <w14:cntxtAlts/>
        </w:rPr>
      </w:pPr>
      <w:r>
        <w:rPr>
          <w:rFonts w:ascii="Tahoma" w:hAnsi="Tahoma" w:cs="Tahoma"/>
          <w:color w:val="000000"/>
          <w:kern w:val="28"/>
          <w:sz w:val="20"/>
          <w:lang w:val="en-US"/>
          <w14:cntxtAlts/>
        </w:rPr>
        <w:t>‘If at any stage during your exam courses you have concerns about procedures used in assessing your internally marked work for public exams (e.g. coursework / portfolio / projects) you should see the Examinations Officer, as soon as possible.’</w:t>
      </w:r>
    </w:p>
    <w:p>
      <w:pPr>
        <w:adjustRightInd/>
        <w:spacing w:before="0" w:after="120" w:line="285" w:lineRule="auto"/>
        <w:textAlignment w:val="auto"/>
        <w:rPr>
          <w:color w:val="000000"/>
          <w:kern w:val="28"/>
          <w:sz w:val="20"/>
          <w14:cntxtAlts/>
        </w:rPr>
      </w:pPr>
      <w:r>
        <w:rPr>
          <w:color w:val="000000"/>
          <w:kern w:val="28"/>
          <w:sz w:val="20"/>
          <w14:cntxtAlts/>
        </w:rPr>
        <w:t> </w:t>
      </w:r>
    </w:p>
    <w:p>
      <w:pPr>
        <w:pStyle w:val="Heading1"/>
        <w:numPr>
          <w:ilvl w:val="0"/>
          <w:numId w:val="0"/>
        </w:numPr>
        <w:spacing w:before="0"/>
        <w:ind w:left="142"/>
        <w:textAlignment w:val="auto"/>
        <w:rPr>
          <w:rFonts w:ascii="Calibri" w:hAnsi="Calibri" w:cs="Calibri"/>
          <w:color w:val="auto"/>
          <w:sz w:val="22"/>
          <w:szCs w:val="22"/>
        </w:rPr>
      </w:pPr>
      <w:r>
        <w:rPr>
          <w:rFonts w:ascii="Calibri" w:hAnsi="Calibri" w:cs="Calibri"/>
          <w:color w:val="auto"/>
          <w:sz w:val="22"/>
          <w:szCs w:val="22"/>
        </w:rPr>
        <w:t>Review date: 15.9.19</w:t>
      </w:r>
    </w:p>
    <w:sectPr>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pPr>
      <w:r>
        <w:separator/>
      </w:r>
    </w:p>
  </w:endnote>
  <w:endnote w:type="continuationSeparator" w:id="0">
    <w:p>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Page </w:t>
    </w:r>
    <w:sdt>
      <w:sdtPr>
        <w:id w:val="-9324303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Page </w:t>
    </w:r>
    <w:sdt>
      <w:sdtPr>
        <w:id w:val="2010720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pPr>
      <w:r>
        <w:separator/>
      </w:r>
    </w:p>
  </w:footnote>
  <w:footnote w:type="continuationSeparator" w:id="0">
    <w:p>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color w:val="1F497D"/>
      </w:rPr>
      <w:drawing>
        <wp:inline distT="0" distB="0" distL="0" distR="0">
          <wp:extent cx="3181179" cy="1169581"/>
          <wp:effectExtent l="0" t="0" r="635" b="0"/>
          <wp:docPr id="2" name="Picture 2" descr="Description: Description: St Leonards Academ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t Leonards Academy Colour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82282" cy="11699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0683"/>
    <w:multiLevelType w:val="hybridMultilevel"/>
    <w:tmpl w:val="6C2666D0"/>
    <w:lvl w:ilvl="0" w:tplc="97C6EFC8">
      <w:start w:val="1"/>
      <w:numFmt w:val="decimal"/>
      <w:lvlText w:val="%1."/>
      <w:lvlJc w:val="left"/>
      <w:pPr>
        <w:ind w:left="436" w:hanging="360"/>
      </w:pPr>
      <w:rPr>
        <w:rFonts w:hint="default"/>
        <w:color w:val="auto"/>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23C277E2"/>
    <w:multiLevelType w:val="hybridMultilevel"/>
    <w:tmpl w:val="55065932"/>
    <w:lvl w:ilvl="0" w:tplc="1616AF6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A1933"/>
    <w:multiLevelType w:val="hybridMultilevel"/>
    <w:tmpl w:val="104EDD28"/>
    <w:lvl w:ilvl="0" w:tplc="B1DCE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C76B4B"/>
    <w:multiLevelType w:val="hybridMultilevel"/>
    <w:tmpl w:val="710AFCC2"/>
    <w:lvl w:ilvl="0" w:tplc="05D07E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172CD"/>
    <w:multiLevelType w:val="hybridMultilevel"/>
    <w:tmpl w:val="4A4A5A50"/>
    <w:lvl w:ilvl="0" w:tplc="5CD83748">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3C015EC"/>
    <w:multiLevelType w:val="multilevel"/>
    <w:tmpl w:val="89589566"/>
    <w:lvl w:ilvl="0">
      <w:start w:val="1"/>
      <w:numFmt w:val="decimal"/>
      <w:pStyle w:val="Heading1"/>
      <w:lvlText w:val="%1"/>
      <w:lvlJc w:val="left"/>
      <w:pPr>
        <w:ind w:left="432" w:hanging="432"/>
      </w:pPr>
      <w:rPr>
        <w:rFonts w:cs="Times New Roman"/>
        <w:b w:val="0"/>
        <w:bCs w:val="0"/>
        <w:i w:val="0"/>
        <w:iCs w:val="0"/>
        <w:caps w:val="0"/>
        <w:smallCaps w:val="0"/>
        <w:strike w:val="0"/>
        <w:dstrike w:val="0"/>
        <w:noProof w:val="0"/>
        <w:vanish w:val="0"/>
        <w:color w:val="4F81BD"/>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4" w:hanging="576"/>
      </w:pPr>
      <w:rPr>
        <w:rFonts w:cs="Times New Roman"/>
        <w:b w:val="0"/>
        <w:bCs w:val="0"/>
        <w:i w:val="0"/>
        <w:iCs w:val="0"/>
        <w:caps w:val="0"/>
        <w:smallCaps w:val="0"/>
        <w:strike w:val="0"/>
        <w:dstrike w:val="0"/>
        <w:noProof w:val="0"/>
        <w:vanish w:val="0"/>
        <w:color w:val="4F81BD"/>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6866C8A"/>
    <w:multiLevelType w:val="multilevel"/>
    <w:tmpl w:val="99799375"/>
    <w:lvl w:ilvl="0">
      <w:start w:val="1"/>
      <w:numFmt w:val="bullet"/>
      <w:lvlText w:val=""/>
      <w:lvlJc w:val="left"/>
      <w:pPr>
        <w:tabs>
          <w:tab w:val="left" w:pos="-220"/>
        </w:tabs>
        <w:ind w:left="300" w:hanging="300"/>
      </w:pPr>
      <w:rPr>
        <w:rFonts w:ascii="Symbol" w:eastAsia="Symbol" w:hAnsi="Symbol" w:cs="Symbol"/>
      </w:rPr>
    </w:lvl>
    <w:lvl w:ilvl="1">
      <w:start w:val="1"/>
      <w:numFmt w:val="bullet"/>
      <w:lvlText w:val="o"/>
      <w:lvlJc w:val="left"/>
      <w:pPr>
        <w:ind w:left="1020"/>
      </w:pPr>
      <w:rPr>
        <w:rFonts w:ascii="Courier New" w:eastAsia="Courier New" w:hAnsi="Courier New" w:cs="Courier New"/>
      </w:rPr>
    </w:lvl>
    <w:lvl w:ilvl="2">
      <w:start w:val="1"/>
      <w:numFmt w:val="bullet"/>
      <w:lvlText w:val=""/>
      <w:lvlJc w:val="left"/>
      <w:pPr>
        <w:ind w:left="1740"/>
      </w:pPr>
      <w:rPr>
        <w:rFonts w:ascii="Wingdings" w:eastAsia="Wingdings" w:hAnsi="Wingdings" w:cs="Wingdings"/>
      </w:rPr>
    </w:lvl>
    <w:lvl w:ilvl="3">
      <w:start w:val="1"/>
      <w:numFmt w:val="bullet"/>
      <w:lvlText w:val=""/>
      <w:lvlJc w:val="left"/>
      <w:pPr>
        <w:ind w:left="2460"/>
      </w:pPr>
      <w:rPr>
        <w:rFonts w:ascii="Symbol" w:eastAsia="Symbol" w:hAnsi="Symbol" w:cs="Symbol"/>
      </w:rPr>
    </w:lvl>
    <w:lvl w:ilvl="4">
      <w:start w:val="1"/>
      <w:numFmt w:val="bullet"/>
      <w:lvlText w:val="o"/>
      <w:lvlJc w:val="left"/>
      <w:pPr>
        <w:ind w:left="3180"/>
      </w:pPr>
      <w:rPr>
        <w:rFonts w:ascii="Courier New" w:eastAsia="Courier New" w:hAnsi="Courier New" w:cs="Courier New"/>
      </w:rPr>
    </w:lvl>
    <w:lvl w:ilvl="5">
      <w:start w:val="1"/>
      <w:numFmt w:val="bullet"/>
      <w:lvlText w:val=""/>
      <w:lvlJc w:val="left"/>
      <w:pPr>
        <w:ind w:left="3900"/>
      </w:pPr>
      <w:rPr>
        <w:rFonts w:ascii="Wingdings" w:eastAsia="Wingdings" w:hAnsi="Wingdings" w:cs="Wingdings"/>
      </w:rPr>
    </w:lvl>
    <w:lvl w:ilvl="6">
      <w:start w:val="1"/>
      <w:numFmt w:val="bullet"/>
      <w:lvlText w:val=""/>
      <w:lvlJc w:val="left"/>
      <w:pPr>
        <w:ind w:left="4620"/>
      </w:pPr>
      <w:rPr>
        <w:rFonts w:ascii="Symbol" w:eastAsia="Symbol" w:hAnsi="Symbol" w:cs="Symbol"/>
      </w:rPr>
    </w:lvl>
    <w:lvl w:ilvl="7">
      <w:start w:val="1"/>
      <w:numFmt w:val="bullet"/>
      <w:lvlText w:val="o"/>
      <w:lvlJc w:val="left"/>
      <w:pPr>
        <w:ind w:left="5340"/>
      </w:pPr>
      <w:rPr>
        <w:rFonts w:ascii="Courier New" w:eastAsia="Courier New" w:hAnsi="Courier New" w:cs="Courier New"/>
      </w:rPr>
    </w:lvl>
    <w:lvl w:ilvl="8">
      <w:start w:val="1"/>
      <w:numFmt w:val="bullet"/>
      <w:lvlText w:val=""/>
      <w:lvlJc w:val="left"/>
      <w:pPr>
        <w:ind w:left="6060"/>
      </w:pPr>
      <w:rPr>
        <w:rFonts w:ascii="Wingdings" w:eastAsia="Wingdings" w:hAnsi="Wingdings" w:cs="Wingdings"/>
      </w:rPr>
    </w:lvl>
  </w:abstractNum>
  <w:abstractNum w:abstractNumId="7">
    <w:nsid w:val="66866C8B"/>
    <w:multiLevelType w:val="multilevel"/>
    <w:tmpl w:val="99799374"/>
    <w:lvl w:ilvl="0">
      <w:start w:val="1"/>
      <w:numFmt w:val="bullet"/>
      <w:lvlText w:val=""/>
      <w:lvlJc w:val="left"/>
      <w:pPr>
        <w:tabs>
          <w:tab w:val="left" w:pos="-220"/>
        </w:tabs>
        <w:ind w:left="300" w:hanging="300"/>
      </w:pPr>
      <w:rPr>
        <w:rFonts w:ascii="Symbol" w:eastAsia="Symbol" w:hAnsi="Symbol" w:cs="Symbol"/>
      </w:rPr>
    </w:lvl>
    <w:lvl w:ilvl="1">
      <w:start w:val="1"/>
      <w:numFmt w:val="bullet"/>
      <w:lvlText w:val="o"/>
      <w:lvlJc w:val="left"/>
      <w:pPr>
        <w:ind w:left="1020"/>
      </w:pPr>
      <w:rPr>
        <w:rFonts w:ascii="Courier New" w:eastAsia="Courier New" w:hAnsi="Courier New" w:cs="Courier New"/>
      </w:rPr>
    </w:lvl>
    <w:lvl w:ilvl="2">
      <w:start w:val="1"/>
      <w:numFmt w:val="bullet"/>
      <w:lvlText w:val=""/>
      <w:lvlJc w:val="left"/>
      <w:pPr>
        <w:ind w:left="1740"/>
      </w:pPr>
      <w:rPr>
        <w:rFonts w:ascii="Wingdings" w:eastAsia="Wingdings" w:hAnsi="Wingdings" w:cs="Wingdings"/>
      </w:rPr>
    </w:lvl>
    <w:lvl w:ilvl="3">
      <w:start w:val="1"/>
      <w:numFmt w:val="bullet"/>
      <w:lvlText w:val=""/>
      <w:lvlJc w:val="left"/>
      <w:pPr>
        <w:ind w:left="2460"/>
      </w:pPr>
      <w:rPr>
        <w:rFonts w:ascii="Symbol" w:eastAsia="Symbol" w:hAnsi="Symbol" w:cs="Symbol"/>
      </w:rPr>
    </w:lvl>
    <w:lvl w:ilvl="4">
      <w:start w:val="1"/>
      <w:numFmt w:val="bullet"/>
      <w:lvlText w:val="o"/>
      <w:lvlJc w:val="left"/>
      <w:pPr>
        <w:ind w:left="3180"/>
      </w:pPr>
      <w:rPr>
        <w:rFonts w:ascii="Courier New" w:eastAsia="Courier New" w:hAnsi="Courier New" w:cs="Courier New"/>
      </w:rPr>
    </w:lvl>
    <w:lvl w:ilvl="5">
      <w:start w:val="1"/>
      <w:numFmt w:val="bullet"/>
      <w:lvlText w:val=""/>
      <w:lvlJc w:val="left"/>
      <w:pPr>
        <w:ind w:left="3900"/>
      </w:pPr>
      <w:rPr>
        <w:rFonts w:ascii="Wingdings" w:eastAsia="Wingdings" w:hAnsi="Wingdings" w:cs="Wingdings"/>
      </w:rPr>
    </w:lvl>
    <w:lvl w:ilvl="6">
      <w:start w:val="1"/>
      <w:numFmt w:val="bullet"/>
      <w:lvlText w:val=""/>
      <w:lvlJc w:val="left"/>
      <w:pPr>
        <w:ind w:left="4620"/>
      </w:pPr>
      <w:rPr>
        <w:rFonts w:ascii="Symbol" w:eastAsia="Symbol" w:hAnsi="Symbol" w:cs="Symbol"/>
      </w:rPr>
    </w:lvl>
    <w:lvl w:ilvl="7">
      <w:start w:val="1"/>
      <w:numFmt w:val="bullet"/>
      <w:lvlText w:val="o"/>
      <w:lvlJc w:val="left"/>
      <w:pPr>
        <w:ind w:left="5340"/>
      </w:pPr>
      <w:rPr>
        <w:rFonts w:ascii="Courier New" w:eastAsia="Courier New" w:hAnsi="Courier New" w:cs="Courier New"/>
      </w:rPr>
    </w:lvl>
    <w:lvl w:ilvl="8">
      <w:start w:val="1"/>
      <w:numFmt w:val="bullet"/>
      <w:lvlText w:val=""/>
      <w:lvlJc w:val="left"/>
      <w:pPr>
        <w:ind w:left="6060"/>
      </w:pPr>
      <w:rPr>
        <w:rFonts w:ascii="Wingdings" w:eastAsia="Wingdings" w:hAnsi="Wingdings" w:cs="Wingdings"/>
      </w:rPr>
    </w:lvl>
  </w:abstractNum>
  <w:abstractNum w:abstractNumId="8">
    <w:nsid w:val="66866C8C"/>
    <w:multiLevelType w:val="multilevel"/>
    <w:tmpl w:val="99799373"/>
    <w:lvl w:ilvl="0">
      <w:start w:val="1"/>
      <w:numFmt w:val="bullet"/>
      <w:lvlText w:val=""/>
      <w:lvlJc w:val="left"/>
      <w:pPr>
        <w:tabs>
          <w:tab w:val="left" w:pos="500"/>
        </w:tabs>
        <w:ind w:left="1020" w:hanging="300"/>
      </w:pPr>
      <w:rPr>
        <w:rFonts w:ascii="Symbol" w:eastAsia="Symbol" w:hAnsi="Symbol" w:cs="Symbol"/>
      </w:rPr>
    </w:lvl>
    <w:lvl w:ilvl="1">
      <w:start w:val="1"/>
      <w:numFmt w:val="bullet"/>
      <w:lvlText w:val="o"/>
      <w:lvlJc w:val="left"/>
      <w:pPr>
        <w:ind w:left="1740"/>
      </w:pPr>
      <w:rPr>
        <w:rFonts w:ascii="Courier New" w:eastAsia="Courier New" w:hAnsi="Courier New" w:cs="Courier New"/>
      </w:rPr>
    </w:lvl>
    <w:lvl w:ilvl="2">
      <w:start w:val="1"/>
      <w:numFmt w:val="bullet"/>
      <w:lvlText w:val=""/>
      <w:lvlJc w:val="left"/>
      <w:pPr>
        <w:ind w:left="2460"/>
      </w:pPr>
      <w:rPr>
        <w:rFonts w:ascii="Wingdings" w:eastAsia="Wingdings" w:hAnsi="Wingdings" w:cs="Wingdings"/>
      </w:rPr>
    </w:lvl>
    <w:lvl w:ilvl="3">
      <w:start w:val="1"/>
      <w:numFmt w:val="bullet"/>
      <w:lvlText w:val=""/>
      <w:lvlJc w:val="left"/>
      <w:pPr>
        <w:ind w:left="3180"/>
      </w:pPr>
      <w:rPr>
        <w:rFonts w:ascii="Symbol" w:eastAsia="Symbol" w:hAnsi="Symbol" w:cs="Symbol"/>
      </w:rPr>
    </w:lvl>
    <w:lvl w:ilvl="4">
      <w:start w:val="1"/>
      <w:numFmt w:val="bullet"/>
      <w:lvlText w:val="o"/>
      <w:lvlJc w:val="left"/>
      <w:pPr>
        <w:ind w:left="3900"/>
      </w:pPr>
      <w:rPr>
        <w:rFonts w:ascii="Courier New" w:eastAsia="Courier New" w:hAnsi="Courier New" w:cs="Courier New"/>
      </w:rPr>
    </w:lvl>
    <w:lvl w:ilvl="5">
      <w:start w:val="1"/>
      <w:numFmt w:val="bullet"/>
      <w:lvlText w:val=""/>
      <w:lvlJc w:val="left"/>
      <w:pPr>
        <w:ind w:left="4620"/>
      </w:pPr>
      <w:rPr>
        <w:rFonts w:ascii="Wingdings" w:eastAsia="Wingdings" w:hAnsi="Wingdings" w:cs="Wingdings"/>
      </w:rPr>
    </w:lvl>
    <w:lvl w:ilvl="6">
      <w:start w:val="1"/>
      <w:numFmt w:val="bullet"/>
      <w:lvlText w:val=""/>
      <w:lvlJc w:val="left"/>
      <w:pPr>
        <w:ind w:left="5340"/>
      </w:pPr>
      <w:rPr>
        <w:rFonts w:ascii="Symbol" w:eastAsia="Symbol" w:hAnsi="Symbol" w:cs="Symbol"/>
      </w:rPr>
    </w:lvl>
    <w:lvl w:ilvl="7">
      <w:start w:val="1"/>
      <w:numFmt w:val="bullet"/>
      <w:lvlText w:val="o"/>
      <w:lvlJc w:val="left"/>
      <w:pPr>
        <w:ind w:left="6060"/>
      </w:pPr>
      <w:rPr>
        <w:rFonts w:ascii="Courier New" w:eastAsia="Courier New" w:hAnsi="Courier New" w:cs="Courier New"/>
      </w:rPr>
    </w:lvl>
    <w:lvl w:ilvl="8">
      <w:start w:val="1"/>
      <w:numFmt w:val="bullet"/>
      <w:lvlText w:val=""/>
      <w:lvlJc w:val="left"/>
      <w:pPr>
        <w:ind w:left="6780"/>
      </w:pPr>
      <w:rPr>
        <w:rFonts w:ascii="Wingdings" w:eastAsia="Wingdings" w:hAnsi="Wingdings" w:cs="Wingdings"/>
      </w:rPr>
    </w:lvl>
  </w:abstractNum>
  <w:abstractNum w:abstractNumId="9">
    <w:nsid w:val="66866C8D"/>
    <w:multiLevelType w:val="multilevel"/>
    <w:tmpl w:val="99799372"/>
    <w:lvl w:ilvl="0">
      <w:start w:val="1"/>
      <w:numFmt w:val="bullet"/>
      <w:lvlText w:val=""/>
      <w:lvlJc w:val="left"/>
      <w:pPr>
        <w:tabs>
          <w:tab w:val="left" w:pos="500"/>
        </w:tabs>
        <w:ind w:left="1020" w:hanging="300"/>
      </w:pPr>
      <w:rPr>
        <w:rFonts w:ascii="Symbol" w:eastAsia="Symbol" w:hAnsi="Symbol" w:cs="Symbol"/>
      </w:rPr>
    </w:lvl>
    <w:lvl w:ilvl="1">
      <w:start w:val="1"/>
      <w:numFmt w:val="bullet"/>
      <w:lvlText w:val="o"/>
      <w:lvlJc w:val="left"/>
      <w:pPr>
        <w:ind w:left="1740"/>
      </w:pPr>
      <w:rPr>
        <w:rFonts w:ascii="Courier New" w:eastAsia="Courier New" w:hAnsi="Courier New" w:cs="Courier New"/>
      </w:rPr>
    </w:lvl>
    <w:lvl w:ilvl="2">
      <w:start w:val="1"/>
      <w:numFmt w:val="bullet"/>
      <w:lvlText w:val=""/>
      <w:lvlJc w:val="left"/>
      <w:pPr>
        <w:ind w:left="2460"/>
      </w:pPr>
      <w:rPr>
        <w:rFonts w:ascii="Wingdings" w:eastAsia="Wingdings" w:hAnsi="Wingdings" w:cs="Wingdings"/>
      </w:rPr>
    </w:lvl>
    <w:lvl w:ilvl="3">
      <w:start w:val="1"/>
      <w:numFmt w:val="bullet"/>
      <w:lvlText w:val=""/>
      <w:lvlJc w:val="left"/>
      <w:pPr>
        <w:ind w:left="3180"/>
      </w:pPr>
      <w:rPr>
        <w:rFonts w:ascii="Symbol" w:eastAsia="Symbol" w:hAnsi="Symbol" w:cs="Symbol"/>
      </w:rPr>
    </w:lvl>
    <w:lvl w:ilvl="4">
      <w:start w:val="1"/>
      <w:numFmt w:val="bullet"/>
      <w:lvlText w:val="o"/>
      <w:lvlJc w:val="left"/>
      <w:pPr>
        <w:ind w:left="3900"/>
      </w:pPr>
      <w:rPr>
        <w:rFonts w:ascii="Courier New" w:eastAsia="Courier New" w:hAnsi="Courier New" w:cs="Courier New"/>
      </w:rPr>
    </w:lvl>
    <w:lvl w:ilvl="5">
      <w:start w:val="1"/>
      <w:numFmt w:val="bullet"/>
      <w:lvlText w:val=""/>
      <w:lvlJc w:val="left"/>
      <w:pPr>
        <w:ind w:left="4620"/>
      </w:pPr>
      <w:rPr>
        <w:rFonts w:ascii="Wingdings" w:eastAsia="Wingdings" w:hAnsi="Wingdings" w:cs="Wingdings"/>
      </w:rPr>
    </w:lvl>
    <w:lvl w:ilvl="6">
      <w:start w:val="1"/>
      <w:numFmt w:val="bullet"/>
      <w:lvlText w:val=""/>
      <w:lvlJc w:val="left"/>
      <w:pPr>
        <w:ind w:left="5340"/>
      </w:pPr>
      <w:rPr>
        <w:rFonts w:ascii="Symbol" w:eastAsia="Symbol" w:hAnsi="Symbol" w:cs="Symbol"/>
      </w:rPr>
    </w:lvl>
    <w:lvl w:ilvl="7">
      <w:start w:val="1"/>
      <w:numFmt w:val="bullet"/>
      <w:lvlText w:val="o"/>
      <w:lvlJc w:val="left"/>
      <w:pPr>
        <w:ind w:left="6060"/>
      </w:pPr>
      <w:rPr>
        <w:rFonts w:ascii="Courier New" w:eastAsia="Courier New" w:hAnsi="Courier New" w:cs="Courier New"/>
      </w:rPr>
    </w:lvl>
    <w:lvl w:ilvl="8">
      <w:start w:val="1"/>
      <w:numFmt w:val="bullet"/>
      <w:lvlText w:val=""/>
      <w:lvlJc w:val="left"/>
      <w:pPr>
        <w:ind w:left="6780"/>
      </w:pPr>
      <w:rPr>
        <w:rFonts w:ascii="Wingdings" w:eastAsia="Wingdings" w:hAnsi="Wingdings" w:cs="Wingdings"/>
      </w:rPr>
    </w:lvl>
  </w:abstractNum>
  <w:abstractNum w:abstractNumId="10">
    <w:nsid w:val="66866C8E"/>
    <w:multiLevelType w:val="multilevel"/>
    <w:tmpl w:val="99799371"/>
    <w:lvl w:ilvl="0">
      <w:start w:val="1"/>
      <w:numFmt w:val="bullet"/>
      <w:lvlText w:val=""/>
      <w:lvlJc w:val="left"/>
      <w:pPr>
        <w:tabs>
          <w:tab w:val="left" w:pos="500"/>
        </w:tabs>
        <w:ind w:left="1020" w:hanging="300"/>
      </w:pPr>
      <w:rPr>
        <w:rFonts w:ascii="Symbol" w:eastAsia="Symbol" w:hAnsi="Symbol" w:cs="Symbol"/>
      </w:rPr>
    </w:lvl>
    <w:lvl w:ilvl="1">
      <w:start w:val="1"/>
      <w:numFmt w:val="bullet"/>
      <w:lvlText w:val="o"/>
      <w:lvlJc w:val="left"/>
      <w:pPr>
        <w:ind w:left="1740"/>
      </w:pPr>
      <w:rPr>
        <w:rFonts w:ascii="Courier New" w:eastAsia="Courier New" w:hAnsi="Courier New" w:cs="Courier New"/>
      </w:rPr>
    </w:lvl>
    <w:lvl w:ilvl="2">
      <w:start w:val="1"/>
      <w:numFmt w:val="bullet"/>
      <w:lvlText w:val=""/>
      <w:lvlJc w:val="left"/>
      <w:pPr>
        <w:ind w:left="2460"/>
      </w:pPr>
      <w:rPr>
        <w:rFonts w:ascii="Wingdings" w:eastAsia="Wingdings" w:hAnsi="Wingdings" w:cs="Wingdings"/>
      </w:rPr>
    </w:lvl>
    <w:lvl w:ilvl="3">
      <w:start w:val="1"/>
      <w:numFmt w:val="bullet"/>
      <w:lvlText w:val=""/>
      <w:lvlJc w:val="left"/>
      <w:pPr>
        <w:ind w:left="3180"/>
      </w:pPr>
      <w:rPr>
        <w:rFonts w:ascii="Symbol" w:eastAsia="Symbol" w:hAnsi="Symbol" w:cs="Symbol"/>
      </w:rPr>
    </w:lvl>
    <w:lvl w:ilvl="4">
      <w:start w:val="1"/>
      <w:numFmt w:val="bullet"/>
      <w:lvlText w:val="o"/>
      <w:lvlJc w:val="left"/>
      <w:pPr>
        <w:ind w:left="3900"/>
      </w:pPr>
      <w:rPr>
        <w:rFonts w:ascii="Courier New" w:eastAsia="Courier New" w:hAnsi="Courier New" w:cs="Courier New"/>
      </w:rPr>
    </w:lvl>
    <w:lvl w:ilvl="5">
      <w:start w:val="1"/>
      <w:numFmt w:val="bullet"/>
      <w:lvlText w:val=""/>
      <w:lvlJc w:val="left"/>
      <w:pPr>
        <w:ind w:left="4620"/>
      </w:pPr>
      <w:rPr>
        <w:rFonts w:ascii="Wingdings" w:eastAsia="Wingdings" w:hAnsi="Wingdings" w:cs="Wingdings"/>
      </w:rPr>
    </w:lvl>
    <w:lvl w:ilvl="6">
      <w:start w:val="1"/>
      <w:numFmt w:val="bullet"/>
      <w:lvlText w:val=""/>
      <w:lvlJc w:val="left"/>
      <w:pPr>
        <w:ind w:left="5340"/>
      </w:pPr>
      <w:rPr>
        <w:rFonts w:ascii="Symbol" w:eastAsia="Symbol" w:hAnsi="Symbol" w:cs="Symbol"/>
      </w:rPr>
    </w:lvl>
    <w:lvl w:ilvl="7">
      <w:start w:val="1"/>
      <w:numFmt w:val="bullet"/>
      <w:lvlText w:val="o"/>
      <w:lvlJc w:val="left"/>
      <w:pPr>
        <w:ind w:left="6060"/>
      </w:pPr>
      <w:rPr>
        <w:rFonts w:ascii="Courier New" w:eastAsia="Courier New" w:hAnsi="Courier New" w:cs="Courier New"/>
      </w:rPr>
    </w:lvl>
    <w:lvl w:ilvl="8">
      <w:start w:val="1"/>
      <w:numFmt w:val="bullet"/>
      <w:lvlText w:val=""/>
      <w:lvlJc w:val="left"/>
      <w:pPr>
        <w:ind w:left="6780"/>
      </w:pPr>
      <w:rPr>
        <w:rFonts w:ascii="Wingdings" w:eastAsia="Wingdings" w:hAnsi="Wingdings" w:cs="Wingdings"/>
      </w:rPr>
    </w:lvl>
  </w:abstractNum>
  <w:abstractNum w:abstractNumId="11">
    <w:nsid w:val="66866C8F"/>
    <w:multiLevelType w:val="multilevel"/>
    <w:tmpl w:val="99799370"/>
    <w:lvl w:ilvl="0">
      <w:start w:val="1"/>
      <w:numFmt w:val="bullet"/>
      <w:lvlText w:val=""/>
      <w:lvlJc w:val="left"/>
      <w:pPr>
        <w:tabs>
          <w:tab w:val="left" w:pos="500"/>
        </w:tabs>
        <w:ind w:left="1020" w:hanging="300"/>
      </w:pPr>
      <w:rPr>
        <w:rFonts w:ascii="Symbol" w:eastAsia="Symbol" w:hAnsi="Symbol" w:cs="Symbol"/>
      </w:rPr>
    </w:lvl>
    <w:lvl w:ilvl="1">
      <w:start w:val="1"/>
      <w:numFmt w:val="bullet"/>
      <w:lvlText w:val="o"/>
      <w:lvlJc w:val="left"/>
      <w:pPr>
        <w:ind w:left="1740"/>
      </w:pPr>
      <w:rPr>
        <w:rFonts w:ascii="Courier New" w:eastAsia="Courier New" w:hAnsi="Courier New" w:cs="Courier New"/>
      </w:rPr>
    </w:lvl>
    <w:lvl w:ilvl="2">
      <w:start w:val="1"/>
      <w:numFmt w:val="bullet"/>
      <w:lvlText w:val=""/>
      <w:lvlJc w:val="left"/>
      <w:pPr>
        <w:ind w:left="2460"/>
      </w:pPr>
      <w:rPr>
        <w:rFonts w:ascii="Wingdings" w:eastAsia="Wingdings" w:hAnsi="Wingdings" w:cs="Wingdings"/>
      </w:rPr>
    </w:lvl>
    <w:lvl w:ilvl="3">
      <w:start w:val="1"/>
      <w:numFmt w:val="bullet"/>
      <w:lvlText w:val=""/>
      <w:lvlJc w:val="left"/>
      <w:pPr>
        <w:ind w:left="3180"/>
      </w:pPr>
      <w:rPr>
        <w:rFonts w:ascii="Symbol" w:eastAsia="Symbol" w:hAnsi="Symbol" w:cs="Symbol"/>
      </w:rPr>
    </w:lvl>
    <w:lvl w:ilvl="4">
      <w:start w:val="1"/>
      <w:numFmt w:val="bullet"/>
      <w:lvlText w:val="o"/>
      <w:lvlJc w:val="left"/>
      <w:pPr>
        <w:ind w:left="3900"/>
      </w:pPr>
      <w:rPr>
        <w:rFonts w:ascii="Courier New" w:eastAsia="Courier New" w:hAnsi="Courier New" w:cs="Courier New"/>
      </w:rPr>
    </w:lvl>
    <w:lvl w:ilvl="5">
      <w:start w:val="1"/>
      <w:numFmt w:val="bullet"/>
      <w:lvlText w:val=""/>
      <w:lvlJc w:val="left"/>
      <w:pPr>
        <w:ind w:left="4620"/>
      </w:pPr>
      <w:rPr>
        <w:rFonts w:ascii="Wingdings" w:eastAsia="Wingdings" w:hAnsi="Wingdings" w:cs="Wingdings"/>
      </w:rPr>
    </w:lvl>
    <w:lvl w:ilvl="6">
      <w:start w:val="1"/>
      <w:numFmt w:val="bullet"/>
      <w:lvlText w:val=""/>
      <w:lvlJc w:val="left"/>
      <w:pPr>
        <w:ind w:left="5340"/>
      </w:pPr>
      <w:rPr>
        <w:rFonts w:ascii="Symbol" w:eastAsia="Symbol" w:hAnsi="Symbol" w:cs="Symbol"/>
      </w:rPr>
    </w:lvl>
    <w:lvl w:ilvl="7">
      <w:start w:val="1"/>
      <w:numFmt w:val="bullet"/>
      <w:lvlText w:val="o"/>
      <w:lvlJc w:val="left"/>
      <w:pPr>
        <w:ind w:left="6060"/>
      </w:pPr>
      <w:rPr>
        <w:rFonts w:ascii="Courier New" w:eastAsia="Courier New" w:hAnsi="Courier New" w:cs="Courier New"/>
      </w:rPr>
    </w:lvl>
    <w:lvl w:ilvl="8">
      <w:start w:val="1"/>
      <w:numFmt w:val="bullet"/>
      <w:lvlText w:val=""/>
      <w:lvlJc w:val="left"/>
      <w:pPr>
        <w:ind w:left="6780"/>
      </w:pPr>
      <w:rPr>
        <w:rFonts w:ascii="Wingdings" w:eastAsia="Wingdings" w:hAnsi="Wingdings" w:cs="Wingdings"/>
      </w:rPr>
    </w:lvl>
  </w:abstractNum>
  <w:abstractNum w:abstractNumId="12">
    <w:nsid w:val="66866C90"/>
    <w:multiLevelType w:val="multilevel"/>
    <w:tmpl w:val="9979936F"/>
    <w:lvl w:ilvl="0">
      <w:start w:val="1"/>
      <w:numFmt w:val="bullet"/>
      <w:lvlText w:val=""/>
      <w:lvlJc w:val="left"/>
      <w:pPr>
        <w:tabs>
          <w:tab w:val="left" w:pos="500"/>
        </w:tabs>
        <w:ind w:left="1020" w:hanging="300"/>
      </w:pPr>
      <w:rPr>
        <w:rFonts w:ascii="Symbol" w:eastAsia="Symbol" w:hAnsi="Symbol" w:cs="Symbol"/>
      </w:rPr>
    </w:lvl>
    <w:lvl w:ilvl="1">
      <w:start w:val="1"/>
      <w:numFmt w:val="bullet"/>
      <w:lvlText w:val="o"/>
      <w:lvlJc w:val="left"/>
      <w:pPr>
        <w:ind w:left="1740"/>
      </w:pPr>
      <w:rPr>
        <w:rFonts w:ascii="Courier New" w:eastAsia="Courier New" w:hAnsi="Courier New" w:cs="Courier New"/>
      </w:rPr>
    </w:lvl>
    <w:lvl w:ilvl="2">
      <w:start w:val="1"/>
      <w:numFmt w:val="bullet"/>
      <w:lvlText w:val=""/>
      <w:lvlJc w:val="left"/>
      <w:pPr>
        <w:ind w:left="2460"/>
      </w:pPr>
      <w:rPr>
        <w:rFonts w:ascii="Wingdings" w:eastAsia="Wingdings" w:hAnsi="Wingdings" w:cs="Wingdings"/>
      </w:rPr>
    </w:lvl>
    <w:lvl w:ilvl="3">
      <w:start w:val="1"/>
      <w:numFmt w:val="bullet"/>
      <w:lvlText w:val=""/>
      <w:lvlJc w:val="left"/>
      <w:pPr>
        <w:ind w:left="3180"/>
      </w:pPr>
      <w:rPr>
        <w:rFonts w:ascii="Symbol" w:eastAsia="Symbol" w:hAnsi="Symbol" w:cs="Symbol"/>
      </w:rPr>
    </w:lvl>
    <w:lvl w:ilvl="4">
      <w:start w:val="1"/>
      <w:numFmt w:val="bullet"/>
      <w:lvlText w:val="o"/>
      <w:lvlJc w:val="left"/>
      <w:pPr>
        <w:ind w:left="3900"/>
      </w:pPr>
      <w:rPr>
        <w:rFonts w:ascii="Courier New" w:eastAsia="Courier New" w:hAnsi="Courier New" w:cs="Courier New"/>
      </w:rPr>
    </w:lvl>
    <w:lvl w:ilvl="5">
      <w:start w:val="1"/>
      <w:numFmt w:val="bullet"/>
      <w:lvlText w:val=""/>
      <w:lvlJc w:val="left"/>
      <w:pPr>
        <w:ind w:left="4620"/>
      </w:pPr>
      <w:rPr>
        <w:rFonts w:ascii="Wingdings" w:eastAsia="Wingdings" w:hAnsi="Wingdings" w:cs="Wingdings"/>
      </w:rPr>
    </w:lvl>
    <w:lvl w:ilvl="6">
      <w:start w:val="1"/>
      <w:numFmt w:val="bullet"/>
      <w:lvlText w:val=""/>
      <w:lvlJc w:val="left"/>
      <w:pPr>
        <w:ind w:left="5340"/>
      </w:pPr>
      <w:rPr>
        <w:rFonts w:ascii="Symbol" w:eastAsia="Symbol" w:hAnsi="Symbol" w:cs="Symbol"/>
      </w:rPr>
    </w:lvl>
    <w:lvl w:ilvl="7">
      <w:start w:val="1"/>
      <w:numFmt w:val="bullet"/>
      <w:lvlText w:val="o"/>
      <w:lvlJc w:val="left"/>
      <w:pPr>
        <w:ind w:left="6060"/>
      </w:pPr>
      <w:rPr>
        <w:rFonts w:ascii="Courier New" w:eastAsia="Courier New" w:hAnsi="Courier New" w:cs="Courier New"/>
      </w:rPr>
    </w:lvl>
    <w:lvl w:ilvl="8">
      <w:start w:val="1"/>
      <w:numFmt w:val="bullet"/>
      <w:lvlText w:val=""/>
      <w:lvlJc w:val="left"/>
      <w:pPr>
        <w:ind w:left="6780"/>
      </w:pPr>
      <w:rPr>
        <w:rFonts w:ascii="Wingdings" w:eastAsia="Wingdings" w:hAnsi="Wingdings" w:cs="Wingdings"/>
      </w:rPr>
    </w:lvl>
  </w:abstractNum>
  <w:abstractNum w:abstractNumId="13">
    <w:nsid w:val="6F3475BE"/>
    <w:multiLevelType w:val="hybridMultilevel"/>
    <w:tmpl w:val="AD6CB766"/>
    <w:lvl w:ilvl="0" w:tplc="9C04E124">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C406AFC"/>
    <w:multiLevelType w:val="hybridMultilevel"/>
    <w:tmpl w:val="53AC4E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before="120" w:after="0" w:line="240" w:lineRule="auto"/>
      <w:textAlignment w:val="baseline"/>
    </w:pPr>
    <w:rPr>
      <w:rFonts w:ascii="Calibri" w:eastAsia="Times New Roman" w:hAnsi="Calibri" w:cs="Times New Roman"/>
      <w:szCs w:val="20"/>
      <w:lang w:eastAsia="en-GB"/>
    </w:rPr>
  </w:style>
  <w:style w:type="paragraph" w:styleId="Heading1">
    <w:name w:val="heading 1"/>
    <w:basedOn w:val="Normal"/>
    <w:next w:val="Normal"/>
    <w:link w:val="Heading1Char"/>
    <w:uiPriority w:val="99"/>
    <w:qFormat/>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pPr>
      <w:keepNext/>
      <w:keepLines/>
      <w:numPr>
        <w:ilvl w:val="1"/>
        <w:numId w:val="1"/>
      </w:numPr>
      <w:spacing w:before="200"/>
      <w:ind w:left="746"/>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unhideWhenUsed/>
    <w:qFormat/>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9"/>
    <w:unhideWhenUsed/>
    <w:qFormat/>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9"/>
    <w:rPr>
      <w:rFonts w:ascii="Cambria" w:eastAsia="Times New Roman" w:hAnsi="Cambria" w:cs="Times New Roman"/>
      <w:b/>
      <w:bCs/>
      <w:color w:val="4F81BD"/>
      <w:szCs w:val="20"/>
      <w:lang w:eastAsia="en-GB"/>
    </w:rPr>
  </w:style>
  <w:style w:type="character" w:customStyle="1" w:styleId="Heading4Char">
    <w:name w:val="Heading 4 Char"/>
    <w:basedOn w:val="DefaultParagraphFont"/>
    <w:link w:val="Heading4"/>
    <w:uiPriority w:val="99"/>
    <w:rPr>
      <w:rFonts w:ascii="Cambria" w:eastAsia="Times New Roman" w:hAnsi="Cambria" w:cs="Times New Roman"/>
      <w:b/>
      <w:bCs/>
      <w:i/>
      <w:iCs/>
      <w:color w:val="4F81BD"/>
      <w:szCs w:val="20"/>
      <w:lang w:eastAsia="en-GB"/>
    </w:rPr>
  </w:style>
  <w:style w:type="character" w:customStyle="1" w:styleId="Heading5Char">
    <w:name w:val="Heading 5 Char"/>
    <w:basedOn w:val="DefaultParagraphFont"/>
    <w:link w:val="Heading5"/>
    <w:uiPriority w:val="99"/>
    <w:rPr>
      <w:rFonts w:ascii="Cambria" w:eastAsia="Times New Roman" w:hAnsi="Cambria" w:cs="Times New Roman"/>
      <w:color w:val="243F60"/>
      <w:szCs w:val="20"/>
      <w:lang w:eastAsia="en-GB"/>
    </w:rPr>
  </w:style>
  <w:style w:type="character" w:customStyle="1" w:styleId="Heading6Char">
    <w:name w:val="Heading 6 Char"/>
    <w:basedOn w:val="DefaultParagraphFont"/>
    <w:link w:val="Heading6"/>
    <w:uiPriority w:val="99"/>
    <w:rPr>
      <w:rFonts w:ascii="Cambria" w:eastAsia="Times New Roman" w:hAnsi="Cambria" w:cs="Times New Roman"/>
      <w:i/>
      <w:iCs/>
      <w:color w:val="243F60"/>
      <w:szCs w:val="20"/>
      <w:lang w:eastAsia="en-GB"/>
    </w:rPr>
  </w:style>
  <w:style w:type="character" w:customStyle="1" w:styleId="Heading7Char">
    <w:name w:val="Heading 7 Char"/>
    <w:basedOn w:val="DefaultParagraphFont"/>
    <w:link w:val="Heading7"/>
    <w:uiPriority w:val="99"/>
    <w:rPr>
      <w:rFonts w:ascii="Cambria" w:eastAsia="Times New Roman" w:hAnsi="Cambria" w:cs="Times New Roman"/>
      <w:i/>
      <w:iCs/>
      <w:color w:val="404040"/>
      <w:szCs w:val="20"/>
      <w:lang w:eastAsia="en-GB"/>
    </w:rPr>
  </w:style>
  <w:style w:type="character" w:customStyle="1" w:styleId="Heading8Char">
    <w:name w:val="Heading 8 Char"/>
    <w:basedOn w:val="DefaultParagraphFont"/>
    <w:link w:val="Heading8"/>
    <w:uiPriority w:val="99"/>
    <w:rPr>
      <w:rFonts w:ascii="Cambria" w:eastAsia="Times New Roman" w:hAnsi="Cambria" w:cs="Times New Roman"/>
      <w:color w:val="404040"/>
      <w:szCs w:val="20"/>
      <w:lang w:eastAsia="en-GB"/>
    </w:rPr>
  </w:style>
  <w:style w:type="character" w:customStyle="1" w:styleId="Heading9Char">
    <w:name w:val="Heading 9 Char"/>
    <w:basedOn w:val="DefaultParagraphFont"/>
    <w:link w:val="Heading9"/>
    <w:uiPriority w:val="99"/>
    <w:rPr>
      <w:rFonts w:ascii="Cambria" w:eastAsia="Times New Roman" w:hAnsi="Cambria" w:cs="Times New Roman"/>
      <w:i/>
      <w:iCs/>
      <w:color w:val="404040"/>
      <w:szCs w:val="20"/>
      <w:lang w:eastAsia="en-GB"/>
    </w:rPr>
  </w:style>
  <w:style w:type="paragraph" w:styleId="NormalWeb">
    <w:name w:val="Normal (Web)"/>
    <w:basedOn w:val="Normal"/>
    <w:unhideWhenUsed/>
    <w:pPr>
      <w:spacing w:before="100" w:beforeAutospacing="1" w:after="100" w:afterAutospacing="1"/>
    </w:pPr>
    <w:rPr>
      <w:sz w:val="24"/>
      <w:szCs w:val="24"/>
    </w:rPr>
  </w:style>
  <w:style w:type="paragraph" w:styleId="Header">
    <w:name w:val="header"/>
    <w:basedOn w:val="Normal"/>
    <w:link w:val="HeaderChar"/>
    <w:uiPriority w:val="99"/>
    <w:unhideWhenUsed/>
    <w:pPr>
      <w:tabs>
        <w:tab w:val="center" w:pos="4513"/>
        <w:tab w:val="right" w:pos="9026"/>
      </w:tabs>
      <w:spacing w:before="0"/>
    </w:pPr>
  </w:style>
  <w:style w:type="character" w:customStyle="1" w:styleId="HeaderChar">
    <w:name w:val="Header Char"/>
    <w:basedOn w:val="DefaultParagraphFont"/>
    <w:link w:val="Header"/>
    <w:uiPriority w:val="99"/>
    <w:rPr>
      <w:rFonts w:ascii="Calibri" w:eastAsia="Times New Roman" w:hAnsi="Calibri" w:cs="Times New Roman"/>
      <w:szCs w:val="20"/>
      <w:lang w:eastAsia="en-GB"/>
    </w:rPr>
  </w:style>
  <w:style w:type="paragraph" w:styleId="Footer">
    <w:name w:val="footer"/>
    <w:basedOn w:val="Normal"/>
    <w:link w:val="FooterChar"/>
    <w:uiPriority w:val="99"/>
    <w:unhideWhenUsed/>
    <w:pPr>
      <w:tabs>
        <w:tab w:val="center" w:pos="4513"/>
        <w:tab w:val="right" w:pos="9026"/>
      </w:tabs>
      <w:spacing w:before="0"/>
    </w:pPr>
  </w:style>
  <w:style w:type="character" w:customStyle="1" w:styleId="FooterChar">
    <w:name w:val="Footer Char"/>
    <w:basedOn w:val="DefaultParagraphFont"/>
    <w:link w:val="Footer"/>
    <w:uiPriority w:val="99"/>
    <w:rPr>
      <w:rFonts w:ascii="Calibri" w:eastAsia="Times New Roman" w:hAnsi="Calibri" w:cs="Times New Roman"/>
      <w:szCs w:val="20"/>
      <w:lang w:eastAsia="en-GB"/>
    </w:rPr>
  </w:style>
  <w:style w:type="paragraph" w:styleId="BalloonText">
    <w:name w:val="Balloon Text"/>
    <w:basedOn w:val="Normal"/>
    <w:link w:val="BalloonTextChar"/>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before="120" w:after="0" w:line="240" w:lineRule="auto"/>
      <w:textAlignment w:val="baseline"/>
    </w:pPr>
    <w:rPr>
      <w:rFonts w:ascii="Calibri" w:eastAsia="Times New Roman" w:hAnsi="Calibri" w:cs="Times New Roman"/>
      <w:szCs w:val="20"/>
      <w:lang w:eastAsia="en-GB"/>
    </w:rPr>
  </w:style>
  <w:style w:type="paragraph" w:styleId="Heading1">
    <w:name w:val="heading 1"/>
    <w:basedOn w:val="Normal"/>
    <w:next w:val="Normal"/>
    <w:link w:val="Heading1Char"/>
    <w:uiPriority w:val="99"/>
    <w:qFormat/>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pPr>
      <w:keepNext/>
      <w:keepLines/>
      <w:numPr>
        <w:ilvl w:val="1"/>
        <w:numId w:val="1"/>
      </w:numPr>
      <w:spacing w:before="200"/>
      <w:ind w:left="746"/>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unhideWhenUsed/>
    <w:qFormat/>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pPr>
      <w:keepNext/>
      <w:keepLines/>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9"/>
    <w:unhideWhenUsed/>
    <w:qFormat/>
    <w:pPr>
      <w:keepNext/>
      <w:keepLines/>
      <w:numPr>
        <w:ilvl w:val="8"/>
        <w:numId w:val="1"/>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9"/>
    <w:rPr>
      <w:rFonts w:ascii="Cambria" w:eastAsia="Times New Roman" w:hAnsi="Cambria" w:cs="Times New Roman"/>
      <w:b/>
      <w:bCs/>
      <w:color w:val="4F81BD"/>
      <w:szCs w:val="20"/>
      <w:lang w:eastAsia="en-GB"/>
    </w:rPr>
  </w:style>
  <w:style w:type="character" w:customStyle="1" w:styleId="Heading4Char">
    <w:name w:val="Heading 4 Char"/>
    <w:basedOn w:val="DefaultParagraphFont"/>
    <w:link w:val="Heading4"/>
    <w:uiPriority w:val="99"/>
    <w:rPr>
      <w:rFonts w:ascii="Cambria" w:eastAsia="Times New Roman" w:hAnsi="Cambria" w:cs="Times New Roman"/>
      <w:b/>
      <w:bCs/>
      <w:i/>
      <w:iCs/>
      <w:color w:val="4F81BD"/>
      <w:szCs w:val="20"/>
      <w:lang w:eastAsia="en-GB"/>
    </w:rPr>
  </w:style>
  <w:style w:type="character" w:customStyle="1" w:styleId="Heading5Char">
    <w:name w:val="Heading 5 Char"/>
    <w:basedOn w:val="DefaultParagraphFont"/>
    <w:link w:val="Heading5"/>
    <w:uiPriority w:val="99"/>
    <w:rPr>
      <w:rFonts w:ascii="Cambria" w:eastAsia="Times New Roman" w:hAnsi="Cambria" w:cs="Times New Roman"/>
      <w:color w:val="243F60"/>
      <w:szCs w:val="20"/>
      <w:lang w:eastAsia="en-GB"/>
    </w:rPr>
  </w:style>
  <w:style w:type="character" w:customStyle="1" w:styleId="Heading6Char">
    <w:name w:val="Heading 6 Char"/>
    <w:basedOn w:val="DefaultParagraphFont"/>
    <w:link w:val="Heading6"/>
    <w:uiPriority w:val="99"/>
    <w:rPr>
      <w:rFonts w:ascii="Cambria" w:eastAsia="Times New Roman" w:hAnsi="Cambria" w:cs="Times New Roman"/>
      <w:i/>
      <w:iCs/>
      <w:color w:val="243F60"/>
      <w:szCs w:val="20"/>
      <w:lang w:eastAsia="en-GB"/>
    </w:rPr>
  </w:style>
  <w:style w:type="character" w:customStyle="1" w:styleId="Heading7Char">
    <w:name w:val="Heading 7 Char"/>
    <w:basedOn w:val="DefaultParagraphFont"/>
    <w:link w:val="Heading7"/>
    <w:uiPriority w:val="99"/>
    <w:rPr>
      <w:rFonts w:ascii="Cambria" w:eastAsia="Times New Roman" w:hAnsi="Cambria" w:cs="Times New Roman"/>
      <w:i/>
      <w:iCs/>
      <w:color w:val="404040"/>
      <w:szCs w:val="20"/>
      <w:lang w:eastAsia="en-GB"/>
    </w:rPr>
  </w:style>
  <w:style w:type="character" w:customStyle="1" w:styleId="Heading8Char">
    <w:name w:val="Heading 8 Char"/>
    <w:basedOn w:val="DefaultParagraphFont"/>
    <w:link w:val="Heading8"/>
    <w:uiPriority w:val="99"/>
    <w:rPr>
      <w:rFonts w:ascii="Cambria" w:eastAsia="Times New Roman" w:hAnsi="Cambria" w:cs="Times New Roman"/>
      <w:color w:val="404040"/>
      <w:szCs w:val="20"/>
      <w:lang w:eastAsia="en-GB"/>
    </w:rPr>
  </w:style>
  <w:style w:type="character" w:customStyle="1" w:styleId="Heading9Char">
    <w:name w:val="Heading 9 Char"/>
    <w:basedOn w:val="DefaultParagraphFont"/>
    <w:link w:val="Heading9"/>
    <w:uiPriority w:val="99"/>
    <w:rPr>
      <w:rFonts w:ascii="Cambria" w:eastAsia="Times New Roman" w:hAnsi="Cambria" w:cs="Times New Roman"/>
      <w:i/>
      <w:iCs/>
      <w:color w:val="404040"/>
      <w:szCs w:val="20"/>
      <w:lang w:eastAsia="en-GB"/>
    </w:rPr>
  </w:style>
  <w:style w:type="paragraph" w:styleId="NormalWeb">
    <w:name w:val="Normal (Web)"/>
    <w:basedOn w:val="Normal"/>
    <w:unhideWhenUsed/>
    <w:pPr>
      <w:spacing w:before="100" w:beforeAutospacing="1" w:after="100" w:afterAutospacing="1"/>
    </w:pPr>
    <w:rPr>
      <w:sz w:val="24"/>
      <w:szCs w:val="24"/>
    </w:rPr>
  </w:style>
  <w:style w:type="paragraph" w:styleId="Header">
    <w:name w:val="header"/>
    <w:basedOn w:val="Normal"/>
    <w:link w:val="HeaderChar"/>
    <w:uiPriority w:val="99"/>
    <w:unhideWhenUsed/>
    <w:pPr>
      <w:tabs>
        <w:tab w:val="center" w:pos="4513"/>
        <w:tab w:val="right" w:pos="9026"/>
      </w:tabs>
      <w:spacing w:before="0"/>
    </w:pPr>
  </w:style>
  <w:style w:type="character" w:customStyle="1" w:styleId="HeaderChar">
    <w:name w:val="Header Char"/>
    <w:basedOn w:val="DefaultParagraphFont"/>
    <w:link w:val="Header"/>
    <w:uiPriority w:val="99"/>
    <w:rPr>
      <w:rFonts w:ascii="Calibri" w:eastAsia="Times New Roman" w:hAnsi="Calibri" w:cs="Times New Roman"/>
      <w:szCs w:val="20"/>
      <w:lang w:eastAsia="en-GB"/>
    </w:rPr>
  </w:style>
  <w:style w:type="paragraph" w:styleId="Footer">
    <w:name w:val="footer"/>
    <w:basedOn w:val="Normal"/>
    <w:link w:val="FooterChar"/>
    <w:uiPriority w:val="99"/>
    <w:unhideWhenUsed/>
    <w:pPr>
      <w:tabs>
        <w:tab w:val="center" w:pos="4513"/>
        <w:tab w:val="right" w:pos="9026"/>
      </w:tabs>
      <w:spacing w:before="0"/>
    </w:pPr>
  </w:style>
  <w:style w:type="character" w:customStyle="1" w:styleId="FooterChar">
    <w:name w:val="Footer Char"/>
    <w:basedOn w:val="DefaultParagraphFont"/>
    <w:link w:val="Footer"/>
    <w:uiPriority w:val="99"/>
    <w:rPr>
      <w:rFonts w:ascii="Calibri" w:eastAsia="Times New Roman" w:hAnsi="Calibri" w:cs="Times New Roman"/>
      <w:szCs w:val="20"/>
      <w:lang w:eastAsia="en-GB"/>
    </w:rPr>
  </w:style>
  <w:style w:type="paragraph" w:styleId="BalloonText">
    <w:name w:val="Balloon Text"/>
    <w:basedOn w:val="Normal"/>
    <w:link w:val="BalloonTextChar"/>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266.EB6F8B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AAAADEF8</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Coates</dc:creator>
  <cp:lastModifiedBy>Julie Jones</cp:lastModifiedBy>
  <cp:revision>2</cp:revision>
  <cp:lastPrinted>2018-11-27T13:36:00Z</cp:lastPrinted>
  <dcterms:created xsi:type="dcterms:W3CDTF">2019-03-04T12:23:00Z</dcterms:created>
  <dcterms:modified xsi:type="dcterms:W3CDTF">2019-03-04T12:23:00Z</dcterms:modified>
</cp:coreProperties>
</file>